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240" w:lineRule="auto"/>
        <w:ind w:firstLine="680" w:left="0"/>
        <w:jc w:val="both"/>
        <w:outlineLvl w:val="0"/>
        <w:rPr>
          <w:rFonts w:ascii="Times New Roman" w:hAnsi="Times New Roman"/>
          <w:b w:val="1"/>
          <w:color w:val="000000"/>
          <w:sz w:val="28"/>
          <w:u w:val="none"/>
        </w:rPr>
      </w:pPr>
      <w:r>
        <w:rPr>
          <w:rFonts w:ascii="Times New Roman" w:hAnsi="Times New Roman"/>
          <w:b w:val="1"/>
          <w:color w:val="000000"/>
          <w:sz w:val="28"/>
          <w:u w:val="none"/>
        </w:rPr>
        <w:t>Прокуратура г. Электростали Московской области разъясняет:</w:t>
      </w:r>
      <w:r>
        <w:rPr>
          <w:rFonts w:ascii="Times New Roman" w:hAnsi="Times New Roman"/>
          <w:b w:val="1"/>
          <w:color w:val="000000"/>
          <w:sz w:val="28"/>
          <w:u w:val="none"/>
        </w:rPr>
        <w:t xml:space="preserve"> «Минтруд утвердил новые правила финансирования предупредительных мер по </w:t>
      </w:r>
      <w:r>
        <w:rPr>
          <w:rFonts w:ascii="Times New Roman" w:hAnsi="Times New Roman"/>
          <w:b w:val="1"/>
          <w:color w:val="000000"/>
          <w:sz w:val="28"/>
          <w:u w:val="none"/>
        </w:rPr>
        <w:t>сокращению травматизма и профзаболеваний»</w:t>
      </w:r>
    </w:p>
    <w:p w14:paraId="02000000">
      <w:pPr>
        <w:spacing w:after="0" w:before="0" w:line="240" w:lineRule="auto"/>
        <w:ind w:firstLine="680" w:left="0"/>
        <w:jc w:val="both"/>
        <w:outlineLvl w:val="0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Минтруд утвердил новые правила финансирования предупредительных мер по сокращению травматизма и профзаболеваний. Они действуют с 1 января 2025 года.</w:t>
      </w:r>
    </w:p>
    <w:p w14:paraId="03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Среди прочего установили новый срок подачи в СФР заявления о возмещении расходов на оплату предупредительных мер. Страхователь может направить заявление до 15 ноября текущего календарного года. Ранее на его подачу было отведено на месяц больше.</w:t>
      </w:r>
    </w:p>
    <w:p w14:paraId="04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Заявление можно подать после выполнения всех предупредительных мер или хотя бы одной из них.</w:t>
      </w:r>
    </w:p>
    <w:p w14:paraId="05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Отметим, в правилах нет нормы о переносе на следующий рабочий день срока, если его окончание выпадает на выходной или нерабочий день. Поскольку в этом году 15 ноября выпадает на субботу, рекомендуем подать заявление не позднее 14 ноября 2025 года.</w:t>
      </w:r>
    </w:p>
    <w:p w14:paraId="06000000">
      <w:pPr>
        <w:pStyle w:val="Style_1"/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 xml:space="preserve">Прокуратура г. Электростали Московской области разъясняет: </w:t>
      </w:r>
      <w:r>
        <w:rPr>
          <w:rFonts w:ascii="Times New Roman" w:hAnsi="Times New Roman"/>
          <w:b w:val="0"/>
          <w:color w:val="000000"/>
          <w:sz w:val="28"/>
          <w:u w:val="none"/>
        </w:rPr>
        <w:t>«Как определить цену иска при обращении в арбитражный суд?»</w:t>
      </w:r>
    </w:p>
    <w:p w14:paraId="07000000">
      <w:pPr>
        <w:pStyle w:val="Style_1"/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Цена иска - это денежное выражение ваших требований, которое вы должны указать в исковом заявлении при обращении в арбитражный суд (ч. 3 ст. 103, п. 6 ч. 2 ст. 125 АПК РФ). В зависимости от вида спора это может быть, к примеру, сумма взыскиваемого долга или стоимость истребуемого имущества.</w:t>
      </w:r>
    </w:p>
    <w:p w14:paraId="08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Важно правильно определить цену иска, поскольку она влияет:</w:t>
      </w:r>
    </w:p>
    <w:p w14:paraId="09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1) на возможность рассмотрения иска в упрощенном порядке. Так, суд может рассмотреть ваше дело в порядке упрощенного производства, если цена иска для юрлиц не выше 1 200 000 руб.; для ИП не выше 600 000 руб. (п. 1 ч. 1 ст. 227 АПК РФ);</w:t>
      </w:r>
    </w:p>
    <w:p w14:paraId="0A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2) размер госпошлины, которую вы должны уплатить при подаче иска. Чем меньше цена имущественного иска, тем дешевле обойдется обращение в суд. По имущественным искам, не подлежащим оценке, и неимущественным требованиям установлен фиксированный размер госпошлины (пп. 1, 4 п. 1 ст. 333.21 НК РФ).</w:t>
      </w:r>
    </w:p>
    <w:p w14:paraId="0B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Цена иска о взыскании денежных средств - это та сумма, которую вы требуете от ответчика при обращении в арбитражный суд (п. 1 ч. 1 ст. 103 АПК РФ).</w:t>
      </w:r>
    </w:p>
    <w:p w14:paraId="0C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Основание, по которому возникло требование, значения не имеет. Например, это может быть долг по договору, сумма неосновательного обогащения или сумма, в которую вы оценили причиненный вам имущественный вред.</w:t>
      </w:r>
    </w:p>
    <w:p w14:paraId="0D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В цену иска входит неустойка, а также проценты, причем как за правомерное пользование деньгами, так и за неисполнение денежного обязательства по ст. 395 ГК РФ. Учтите, что когда в договоре есть условие о неустойке за нарушение денежного обязательства, то потребовать одновременно неустойку и проценты по ст. 395 ГК РФ можно, только если уплата этих процентов прямо предусмотрена законом или договором (п. 4 ст. 395 ГК РФ).</w:t>
      </w:r>
    </w:p>
    <w:p w14:paraId="0E000000">
      <w:pPr>
        <w:pStyle w:val="Style_2"/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2_ch" w:type="character">
    <w:name w:val="Normal"/>
    <w:link w:val="Style_2"/>
    <w:rPr>
      <w:rFonts w:ascii="XO Thames" w:hAnsi="XO Thames"/>
      <w:sz w:val="28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" w:type="paragraph">
    <w:name w:val="heading 1"/>
    <w:next w:val="Style_2"/>
    <w:link w:val="Style_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_ch" w:type="character">
    <w:name w:val="heading 1"/>
    <w:link w:val="Style_1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2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2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2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2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2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2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2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2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2025-11-21T08:17:24Z</dcterms:modified>
</cp:coreProperties>
</file>